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della commissione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raggiunti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non raggiunti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Criticità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per il prossimo anno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Tabella con indicazione, per ogni membro della commissione, le ore di attività svolte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2"/>
        <w:tblW w:w="97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10"/>
        <w:gridCol w:w="1560"/>
        <w:gridCol w:w="5778"/>
        <w:tblGridChange w:id="0">
          <w:tblGrid>
            <w:gridCol w:w="2410"/>
            <w:gridCol w:w="1560"/>
            <w:gridCol w:w="5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Docente commissario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Ore di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Data,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 componenti commissione</w:t>
      </w:r>
    </w:p>
    <w:p w:rsidR="00000000" w:rsidDel="00000000" w:rsidP="00000000" w:rsidRDefault="00000000" w:rsidRPr="00000000" w14:paraId="0000003B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3D">
      <w:pP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40">
      <w:pP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43">
      <w:pP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46">
      <w:pP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7KU7lVRA7jhhfeDHXItatLHbrw==">CgMxLjA4AGo5CjVzdWdnZXN0SWRJbXBvcnQ3MmY1MzJkMi1hOTM4LTQ2NmQtODFkMy02MDBkNjkyZDUyOTdfMRIAciExVG1TODZ2eXNicHVJNEg2OVVYd0ZfNkc3TVlVZEtlcVE=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